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rFonts w:ascii="Calibri" w:hAnsi="Calibri" w:eastAsia="Calibri" w:cs="Calibri"/>
            <w:color w:val="#0000ff"/>
            <w:sz w:val="20"/>
            <w:szCs w:val="20"/>
            <w:u w:val="single"/>
          </w:rPr>
          <w:t xml:space="preserve">Tarkett Holding auf heinze.de</w:t>
        </w:r>
      </w:hyperlink>
    </w:p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		DESSO Textile Bodenbeläge, Teppichfliesen</w:t>
      </w:r>
    </w:p>
    <w:p/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1.1		Nicht ableitfähige Verlegung</w:t>
      </w:r>
    </w:p>
    <w:p/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1.1.1		Teppichfliesen nicht ableitfähige Verlegung EcoBase</w:t>
      </w:r>
    </w:p>
    <w:p/>
    <w:p>
      <w:pPr>
        <w:shd w:val="clear" w:fill="dddddd"/>
      </w:pPr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1.1.1.1		Textiler Bodenbelag DIN 1307, Arable EcoBase, in Teppichfliesen, 50 x 50 cm, Polyolefin-Rückenbeschichtung, nach Verlegeanleitung des Herstellers</w:t>
      </w:r>
    </w:p>
    <w:p/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Textiler Bodenbelag nach DIN 1307 als Teppichfliesen,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liefern und auf verlegereifen Untergrund in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fachgerechter Ausführung lose mit handelsüblichem Tackifier (Rutschbremse) für selbstliegende Teppichfliesen verlegen. Einschließlich aller Materialien und Nebenarbeiten.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Art der Herstellung: Getuftet 1/10",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Musterung: Schlingenpol strukturiert,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Färbemethode: Solution Dyed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Abmessungen: 50 x 50 cm (Karton 20 Stück), gem. EN 994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Trägermaterial: Polyester Vlies,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Rückenausrüstung: Desso EcoBase, gem. ISO 2424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Faserzusammensetzung der Nutzschicht: BCF PA 6 und ECONYL (ECONYL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wird aus 100% recyceltem Material hergestellt), gem.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Gesamtdicke: 6,5 mm, gem. ISO 1765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Polschichtdicke: 3,2 mm, gem. ISO 1766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Gesamtgewicht: 4.100 g/m², gem. ISO 8543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Poleinsatzgewicht: 640 g/m², gem. ISO 2424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Polschichtgewicht: 415 g/m², gem. ISO 8543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Pol-Rohdichte: 0,130 g/cm³, gem. ISO 8543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Noppenzahl: 1.580 / dm², gem. ISO 1763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Begehtest: &lt;= 2,0 kV, gem. ISO 6356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Durchgangswiderstand: &lt;= 1 x 109 Ohm, gem. ISO 10965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Oberflächenwiderstand: -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Beanspruchungsbereich: 33 Objektbereich gewerblich - Stark, gem. EN 1307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Komfortklasse: LC2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Maßbeständigkeit: &lt;= 0,2 %, gem. EN 986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Trittschallverbesserungsmaß: 25 dB, gem. ISO 140-8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Schallreduktion: 0,15 aw, gem. ISO 354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Wärmedurchlasswiderstand: 0,071 m² K/W, gem. ISO 8302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Brandverhalten: Bfl - s1 (unverklebt geprüft), gem. 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13501-1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Lichtreflexionsgrad: gem. BS 8493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Farbtiefe: gem. CIELAB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Antistatisch: gegeben, gem. Begehtest EN 1815 bzw. ISO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6356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Ableitfähigkeit: gegeben, &lt;= 1 x 109 Ohm, gem. ISO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10965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Stuhlrollengeignung: gegeben für den gewerblichen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Bereich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Fußbodenheizungseignung: gegeben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Rutschhemmung: DS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Farbe: .................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Nach Wahl AG aus Herstellerkollektion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Rücknahmegarantie + Wiederverwertung: gegeben gem. ReStart Programm von Tarkett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Sonstige Anforderungen: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Cradle to Cradle® Silber Zertifikat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GUT Signet (Gemeinschaft umweltfreundlicher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Teppichboden) vorhanden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CRI Green Label Plus für US LEED Standard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CE-Kennzeichnung Angewandte harmonisierte Norm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- EPD (Environmental Product Declaration) gemäß ISO 14025 + EN 15804 vorhanden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Besondere Eigenschaften: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Fabrikat: Desso Arable EcoBase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Einheit: m²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Hinweis: Dieser Ausschreibungstext ist unverbindlich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und muss gegebenenfalls den örtlichen Gegebenheiten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angepasst werden.</w:t>
      </w:r>
    </w:p>
    <w:p>
      <w:pPr>
        <w:spacing w:before="0" w:after="0"/>
      </w:pP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Technische Daten können sich geringfügig ändern.</w:t>
      </w:r>
    </w:p>
    <w:p>
      <w:pPr>
        <w:spacing w:before="0" w:after="0"/>
      </w:pPr>
      <w:r>
        <w:rPr>
          <w:rFonts w:ascii="Arial" w:hAnsi="Arial" w:eastAsia="Arial" w:cs="Arial"/>
          <w:sz w:val="22"/>
          <w:szCs w:val="22"/>
        </w:rPr>
        <w:t xml:space="preserve">Aktuelle Daten finden Sie unter: www.tarkett.com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Menge: </w:t>
      </w:r>
      <w:r>
        <w:rPr>
          <w:rFonts w:ascii="Calibri" w:hAnsi="Calibri" w:eastAsia="Calibri" w:cs="Calibri"/>
          <w:sz w:val="22"/>
          <w:szCs w:val="22"/>
        </w:rPr>
        <w:t xml:space="preserve">..........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Einheit: </w:t>
      </w:r>
      <w:r>
        <w:rPr>
          <w:rFonts w:ascii="Calibri" w:hAnsi="Calibri" w:eastAsia="Calibri" w:cs="Calibri"/>
          <w:sz w:val="22"/>
          <w:szCs w:val="22"/>
        </w:rPr>
        <w:t xml:space="preserve">m²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EP: </w:t>
      </w:r>
      <w:r>
        <w:rPr>
          <w:rFonts w:ascii="Calibri" w:hAnsi="Calibri" w:eastAsia="Calibri" w:cs="Calibri"/>
          <w:sz w:val="22"/>
          <w:szCs w:val="22"/>
        </w:rPr>
        <w:t xml:space="preserve">..........</w:t>
      </w:r>
    </w:p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GP: </w:t>
      </w:r>
      <w:r>
        <w:rPr>
          <w:rFonts w:ascii="Calibri" w:hAnsi="Calibri" w:eastAsia="Calibri" w:cs="Calibri"/>
          <w:sz w:val="22"/>
          <w:szCs w:val="22"/>
        </w:rPr>
        <w:t xml:space="preserve">..........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 </w:t>
      </w:r>
    </w:p>
    <w:p/>
    <w:p>
      <w:pPr/>
      <w:r>
        <w:rPr/>
        <w:t xml:space="preserve">
</w:t>
      </w:r>
    </w:p>
    <w:p>
      <w:hyperlink r:id="rId7" w:history="1">
        <w:r>
          <w:rPr>
            <w:rFonts w:ascii="Calibri" w:hAnsi="Calibri" w:eastAsia="Calibri" w:cs="Calibri"/>
            <w:color w:val="#0000ff"/>
            <w:sz w:val="20"/>
            <w:szCs w:val="20"/>
            <w:u w:val="single"/>
          </w:rPr>
          <w:t xml:space="preserve">Tarkett Holding auf heinze.de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FooterStyle"/>
    </w:pPr>
    <w:r>
      <w:rPr>
        <w:rFonts w:ascii="Calibri" w:hAnsi="Calibri" w:eastAsia="Calibri" w:cs="Calibri"/>
        <w:sz w:val="20"/>
        <w:szCs w:val="20"/>
      </w:rPr>
      <w:t xml:space="preserve">Seite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von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2500" w:type="dxa"/>
    </w:tblGrid>
    <w:tblPr>
      <w:tblW w:w="5000" w:type="pct"/>
      <w:tblLayout w:type="autofit"/>
      <w:bidiVisual w:val="0"/>
    </w:tblPr>
    <w:tr>
      <w:trPr>
        <w:trHeight w:val="" w:hRule="atLeast"/>
      </w:trPr>
      <w:tc>
        <w:tcPr>
          <w:tcW w:w="2500" w:type="dxa"/>
        </w:tcPr>
        <w:p>
          <w:pPr/>
          <w:r>
            <w:rPr>
              <w:rFonts w:ascii="Calibri" w:hAnsi="Calibri" w:eastAsia="Calibri" w:cs="Calibri"/>
              <w:sz w:val="40"/>
              <w:szCs w:val="40"/>
              <w:b w:val="1"/>
              <w:bCs w:val="1"/>
            </w:rPr>
            <w:t xml:space="preserve">Tarkett Holding</w:t>
          </w:r>
        </w:p>
      </w:tc>
      <w:tc>
        <w:tcPr>
          <w:tcW w:w="2500" w:type="dxa"/>
        </w:tcPr>
        <w:p>
          <w:pPr>
            <w:jc w:val="end"/>
          </w:pPr>
          <w:r>
            <w:pict>
              <v:shape type="#_x0000_t75" stroked="f" style="width:112,5pt; height:45,75pt; margin-left:0pt; margin-top:0pt; mso-position-horizontal:left; mso-position-vertical:top; mso-position-horizontal-relative:char; mso-position-vertical-relative:line;">
                <w10:wrap type="squar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aragraphFooterStyle">
    <w:name w:val="paragraphFooterStyle"/>
    <w:basedOn w:val="Normal"/>
    <w:pPr>
      <w:jc w:val="right"/>
    </w:pPr>
  </w:style>
  <w:style w:type="table" w:customStyle="1" w:styleId="treeElementTable">
    <w:name w:val="treeElementTable"/>
    <w:uiPriority w:val="99"/>
    <w:tblPr>
      <w:tblW w:w="0" w:type="auto"/>
      <w:tblLayout w:type="autofit"/>
      <w:bidiVisual w:val="0"/>
    </w:tblPr>
    <w:tblStylePr w:type="firstRow">
      <w:tcPr>
        <w:tcPr>
          <w:shd w:val="clear" w:fill="eaeaea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einze.de/themenkosmos/64068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2025-05-12T13:54:33+02:00</dcterms:created>
  <dcterms:modified xsi:type="dcterms:W3CDTF">2025-05-12T13:54:33+02:00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