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hyperlink r:id="rId7" w:history="1">
        <w:r>
          <w:rPr>
            <w:rFonts w:ascii="Calibri" w:hAnsi="Calibri" w:eastAsia="Calibri" w:cs="Calibri"/>
            <w:color w:val="#0000ff"/>
            <w:sz w:val="20"/>
            <w:szCs w:val="20"/>
            <w:u w:val="single"/>
          </w:rPr>
          <w:t xml:space="preserve">Tarkett Holding auf heinze.de</w:t>
        </w:r>
      </w:hyperlink>
    </w:p>
    <w:p>
      <w:pPr>
        <w:shd w:val="clear" w:fill="dddddd"/>
      </w:pPr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1		DESSO Textile Bodenbeläge, Teppichfliesen</w:t>
      </w:r>
    </w:p>
    <w:p/>
    <w:p>
      <w:pPr>
        <w:shd w:val="clear" w:fill="dddddd"/>
      </w:pPr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1.1		Ableitfähige Verlegung</w:t>
      </w:r>
    </w:p>
    <w:p/>
    <w:p>
      <w:pPr>
        <w:shd w:val="clear" w:fill="dddddd"/>
      </w:pPr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1.1.1		Teppichfliesen ableitfähige Verlegung EcoBase</w:t>
      </w:r>
    </w:p>
    <w:p/>
    <w:p>
      <w:pPr>
        <w:shd w:val="clear" w:fill="dddddd"/>
      </w:pPr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1.1.1.1		Textiler Bodenbelag DIN 1307, Arable EcoBase, in Teppichfliesen, 50 x 50 cm, Polyolefin-Rückenbeschichtung, ableitfähige Verlegung</w:t>
      </w:r>
    </w:p>
    <w:p/>
    <w:p>
      <w:pPr>
        <w:spacing w:before="0" w:after="0"/>
      </w:pPr>
    </w:p>
    <w:p>
      <w:pPr>
        <w:spacing w:before="0" w:after="0"/>
      </w:pPr>
      <w:r>
        <w:rPr>
          <w:rFonts w:ascii="Arial" w:hAnsi="Arial" w:eastAsia="Arial" w:cs="Arial"/>
          <w:sz w:val="22"/>
          <w:szCs w:val="22"/>
        </w:rPr>
        <w:t xml:space="preserve">Textiler Bodenbelag nach DIN 1307 als Teppichfliesen,</w:t>
      </w:r>
    </w:p>
    <w:p>
      <w:pPr>
        <w:spacing w:before="0" w:after="0"/>
      </w:pPr>
      <w:r>
        <w:rPr>
          <w:rFonts w:ascii="Arial" w:hAnsi="Arial" w:eastAsia="Arial" w:cs="Arial"/>
          <w:sz w:val="22"/>
          <w:szCs w:val="22"/>
        </w:rPr>
        <w:t xml:space="preserve">liefern und unter zusätzlicher Verwendung eines</w:t>
      </w:r>
    </w:p>
    <w:p>
      <w:pPr>
        <w:spacing w:before="0" w:after="0"/>
      </w:pPr>
      <w:r>
        <w:rPr>
          <w:rFonts w:ascii="Arial" w:hAnsi="Arial" w:eastAsia="Arial" w:cs="Arial"/>
          <w:sz w:val="22"/>
          <w:szCs w:val="22"/>
        </w:rPr>
        <w:t xml:space="preserve">Kupferbandnetzes auf verlegereifen Untergrund in</w:t>
      </w:r>
    </w:p>
    <w:p>
      <w:pPr>
        <w:spacing w:before="0" w:after="0"/>
      </w:pPr>
      <w:r>
        <w:rPr>
          <w:rFonts w:ascii="Arial" w:hAnsi="Arial" w:eastAsia="Arial" w:cs="Arial"/>
          <w:sz w:val="22"/>
          <w:szCs w:val="22"/>
        </w:rPr>
        <w:t xml:space="preserve">fachgerechter Ausführung lose mit</w:t>
      </w:r>
      <w:r>
        <w:rPr>
          <w:rFonts w:ascii="Arial" w:hAnsi="Arial" w:eastAsia="Arial" w:cs="Arial"/>
          <w:sz w:val="20"/>
          <w:szCs w:val="20"/>
        </w:rPr>
        <w:t xml:space="preserve">handelsüblichem Tackifier (Rutschbremse)</w:t>
      </w:r>
      <w:r>
        <w:rPr>
          <w:rFonts w:ascii="Arial" w:hAnsi="Arial" w:eastAsia="Arial" w:cs="Arial"/>
          <w:sz w:val="22"/>
          <w:szCs w:val="22"/>
        </w:rPr>
        <w:t xml:space="preserve">für selbstliegende Teppichfliesen</w:t>
      </w:r>
    </w:p>
    <w:p>
      <w:pPr>
        <w:spacing w:before="0" w:after="0"/>
      </w:pPr>
      <w:r>
        <w:rPr>
          <w:rFonts w:ascii="Arial" w:hAnsi="Arial" w:eastAsia="Arial" w:cs="Arial"/>
          <w:sz w:val="22"/>
          <w:szCs w:val="22"/>
        </w:rPr>
        <w:t xml:space="preserve">verlegen. Einschließlich aller Materialien und</w:t>
      </w:r>
    </w:p>
    <w:p>
      <w:pPr>
        <w:spacing w:before="0" w:after="0"/>
      </w:pPr>
      <w:r>
        <w:rPr>
          <w:rFonts w:ascii="Arial" w:hAnsi="Arial" w:eastAsia="Arial" w:cs="Arial"/>
          <w:sz w:val="22"/>
          <w:szCs w:val="22"/>
        </w:rPr>
        <w:t xml:space="preserve">Nebenarbeiten.</w:t>
      </w:r>
    </w:p>
    <w:p>
      <w:pPr>
        <w:spacing w:before="0" w:after="0"/>
      </w:pPr>
    </w:p>
    <w:p>
      <w:pPr>
        <w:spacing w:before="0" w:after="0"/>
      </w:pPr>
      <w:r>
        <w:rPr>
          <w:rFonts w:ascii="Arial" w:hAnsi="Arial" w:eastAsia="Arial" w:cs="Arial"/>
          <w:sz w:val="22"/>
          <w:szCs w:val="22"/>
        </w:rPr>
        <w:t xml:space="preserve">Art der Herstellung: Getuftet 1/10", gem. ISO 2424</w:t>
      </w:r>
    </w:p>
    <w:p>
      <w:pPr>
        <w:spacing w:before="0" w:after="0"/>
      </w:pPr>
    </w:p>
    <w:p>
      <w:pPr>
        <w:spacing w:before="0" w:after="0"/>
      </w:pPr>
      <w:r>
        <w:rPr>
          <w:rFonts w:ascii="Arial" w:hAnsi="Arial" w:eastAsia="Arial" w:cs="Arial"/>
          <w:sz w:val="22"/>
          <w:szCs w:val="22"/>
        </w:rPr>
        <w:t xml:space="preserve">Musterung: Schlingenpol strukturiert, gem. ISO 2424</w:t>
      </w:r>
    </w:p>
    <w:p>
      <w:pPr>
        <w:spacing w:before="0" w:after="0"/>
      </w:pPr>
    </w:p>
    <w:p>
      <w:pPr>
        <w:spacing w:before="0" w:after="0"/>
      </w:pPr>
      <w:r>
        <w:rPr>
          <w:rFonts w:ascii="Arial" w:hAnsi="Arial" w:eastAsia="Arial" w:cs="Arial"/>
          <w:sz w:val="22"/>
          <w:szCs w:val="22"/>
        </w:rPr>
        <w:t xml:space="preserve">Färbemethode: Solution Dyed</w:t>
      </w:r>
    </w:p>
    <w:p>
      <w:pPr>
        <w:spacing w:before="0" w:after="0"/>
      </w:pPr>
    </w:p>
    <w:p>
      <w:pPr>
        <w:spacing w:before="0" w:after="0"/>
      </w:pPr>
      <w:r>
        <w:rPr>
          <w:rFonts w:ascii="Arial" w:hAnsi="Arial" w:eastAsia="Arial" w:cs="Arial"/>
          <w:sz w:val="22"/>
          <w:szCs w:val="22"/>
        </w:rPr>
        <w:t xml:space="preserve">Abmessungen: 50 x 50 cm (Karton 20 Stück), gem. EN 994</w:t>
      </w:r>
    </w:p>
    <w:p>
      <w:pPr>
        <w:spacing w:before="0" w:after="0"/>
      </w:pPr>
    </w:p>
    <w:p>
      <w:pPr>
        <w:spacing w:before="0" w:after="0"/>
      </w:pPr>
      <w:r>
        <w:rPr>
          <w:rFonts w:ascii="Arial" w:hAnsi="Arial" w:eastAsia="Arial" w:cs="Arial"/>
          <w:sz w:val="22"/>
          <w:szCs w:val="22"/>
        </w:rPr>
        <w:t xml:space="preserve">Trägermaterial: Polyester Vlies, gem. ISO 2424</w:t>
      </w:r>
    </w:p>
    <w:p>
      <w:pPr>
        <w:spacing w:before="0" w:after="0"/>
      </w:pPr>
    </w:p>
    <w:p>
      <w:pPr>
        <w:spacing w:before="0" w:after="0"/>
      </w:pPr>
      <w:r>
        <w:rPr>
          <w:rFonts w:ascii="Arial" w:hAnsi="Arial" w:eastAsia="Arial" w:cs="Arial"/>
          <w:sz w:val="22"/>
          <w:szCs w:val="22"/>
        </w:rPr>
        <w:t xml:space="preserve">Rückenausrüstung: Desso EcoBase, gem. ISO 2424</w:t>
      </w:r>
    </w:p>
    <w:p>
      <w:pPr>
        <w:spacing w:before="0" w:after="0"/>
      </w:pPr>
    </w:p>
    <w:p>
      <w:pPr>
        <w:spacing w:before="0" w:after="0"/>
      </w:pPr>
      <w:r>
        <w:rPr>
          <w:rFonts w:ascii="Arial" w:hAnsi="Arial" w:eastAsia="Arial" w:cs="Arial"/>
          <w:sz w:val="22"/>
          <w:szCs w:val="22"/>
        </w:rPr>
        <w:t xml:space="preserve">Faserzusammensetzung der Nutzschicht: 100 % ECONYL (ECONYL</w:t>
      </w:r>
    </w:p>
    <w:p>
      <w:pPr>
        <w:spacing w:before="0" w:after="0"/>
      </w:pPr>
      <w:r>
        <w:rPr>
          <w:rFonts w:ascii="Arial" w:hAnsi="Arial" w:eastAsia="Arial" w:cs="Arial"/>
          <w:sz w:val="22"/>
          <w:szCs w:val="22"/>
        </w:rPr>
        <w:t xml:space="preserve">wird aus 100% recyceltem Material hergestellt), gem.</w:t>
      </w:r>
    </w:p>
    <w:p>
      <w:pPr>
        <w:spacing w:before="0" w:after="0"/>
      </w:pPr>
      <w:r>
        <w:rPr>
          <w:rFonts w:ascii="Arial" w:hAnsi="Arial" w:eastAsia="Arial" w:cs="Arial"/>
          <w:sz w:val="22"/>
          <w:szCs w:val="22"/>
        </w:rPr>
        <w:t xml:space="preserve">ISO 2424</w:t>
      </w:r>
    </w:p>
    <w:p>
      <w:pPr>
        <w:spacing w:before="0" w:after="0"/>
      </w:pPr>
    </w:p>
    <w:p>
      <w:pPr>
        <w:spacing w:before="0" w:after="0"/>
      </w:pPr>
      <w:r>
        <w:rPr>
          <w:rFonts w:ascii="Arial" w:hAnsi="Arial" w:eastAsia="Arial" w:cs="Arial"/>
          <w:sz w:val="22"/>
          <w:szCs w:val="22"/>
        </w:rPr>
        <w:t xml:space="preserve">Gesamtdicke: 6,5 mm, gem. ISO 1765</w:t>
      </w:r>
    </w:p>
    <w:p>
      <w:pPr>
        <w:spacing w:before="0" w:after="0"/>
      </w:pPr>
    </w:p>
    <w:p>
      <w:pPr>
        <w:spacing w:before="0" w:after="0"/>
      </w:pPr>
      <w:r>
        <w:rPr>
          <w:rFonts w:ascii="Arial" w:hAnsi="Arial" w:eastAsia="Arial" w:cs="Arial"/>
          <w:sz w:val="22"/>
          <w:szCs w:val="22"/>
        </w:rPr>
        <w:t xml:space="preserve">Polschichtdicke: 3,2 mm, gem. ISO 1766</w:t>
      </w:r>
    </w:p>
    <w:p>
      <w:pPr>
        <w:spacing w:before="0" w:after="0"/>
      </w:pPr>
    </w:p>
    <w:p>
      <w:pPr>
        <w:spacing w:before="0" w:after="0"/>
      </w:pPr>
      <w:r>
        <w:rPr>
          <w:rFonts w:ascii="Arial" w:hAnsi="Arial" w:eastAsia="Arial" w:cs="Arial"/>
          <w:sz w:val="22"/>
          <w:szCs w:val="22"/>
        </w:rPr>
        <w:t xml:space="preserve">Gesamtgewicht: 4.100 g/m², gem. ISO 8543</w:t>
      </w:r>
    </w:p>
    <w:p>
      <w:pPr>
        <w:spacing w:before="0" w:after="0"/>
      </w:pPr>
    </w:p>
    <w:p>
      <w:pPr>
        <w:spacing w:before="0" w:after="0"/>
      </w:pPr>
      <w:r>
        <w:rPr>
          <w:rFonts w:ascii="Arial" w:hAnsi="Arial" w:eastAsia="Arial" w:cs="Arial"/>
          <w:sz w:val="22"/>
          <w:szCs w:val="22"/>
        </w:rPr>
        <w:t xml:space="preserve">Poleinsatzgewicht: 675 g/m², gem. ISO 2424</w:t>
      </w:r>
    </w:p>
    <w:p>
      <w:pPr>
        <w:spacing w:before="0" w:after="0"/>
      </w:pPr>
    </w:p>
    <w:p>
      <w:pPr>
        <w:spacing w:before="0" w:after="0"/>
      </w:pPr>
      <w:r>
        <w:rPr>
          <w:rFonts w:ascii="Arial" w:hAnsi="Arial" w:eastAsia="Arial" w:cs="Arial"/>
          <w:sz w:val="22"/>
          <w:szCs w:val="22"/>
        </w:rPr>
        <w:t xml:space="preserve">Polschichtgewicht: 415 g/m², gem. ISO 8543</w:t>
      </w:r>
    </w:p>
    <w:p>
      <w:pPr>
        <w:spacing w:before="0" w:after="0"/>
      </w:pPr>
    </w:p>
    <w:p>
      <w:pPr>
        <w:spacing w:before="0" w:after="0"/>
      </w:pPr>
      <w:r>
        <w:rPr>
          <w:rFonts w:ascii="Arial" w:hAnsi="Arial" w:eastAsia="Arial" w:cs="Arial"/>
          <w:sz w:val="22"/>
          <w:szCs w:val="22"/>
        </w:rPr>
        <w:t xml:space="preserve">Pol-Rohdichte: 0,130 g/cm³, gem. ISO 8543</w:t>
      </w:r>
    </w:p>
    <w:p>
      <w:pPr>
        <w:spacing w:before="0" w:after="0"/>
      </w:pPr>
    </w:p>
    <w:p>
      <w:pPr>
        <w:spacing w:before="0" w:after="0"/>
      </w:pPr>
      <w:r>
        <w:rPr>
          <w:rFonts w:ascii="Arial" w:hAnsi="Arial" w:eastAsia="Arial" w:cs="Arial"/>
          <w:sz w:val="22"/>
          <w:szCs w:val="22"/>
        </w:rPr>
        <w:t xml:space="preserve">Noppenzahl: 1.580 / dm², gem. ISO 1763</w:t>
      </w:r>
    </w:p>
    <w:p>
      <w:pPr>
        <w:spacing w:before="0" w:after="0"/>
      </w:pPr>
    </w:p>
    <w:p>
      <w:pPr>
        <w:spacing w:before="0" w:after="0"/>
      </w:pPr>
      <w:r>
        <w:rPr>
          <w:rFonts w:ascii="Arial" w:hAnsi="Arial" w:eastAsia="Arial" w:cs="Arial"/>
          <w:sz w:val="22"/>
          <w:szCs w:val="22"/>
        </w:rPr>
        <w:t xml:space="preserve">Begehtest: &lt;= 2,0 kV, gem. ISO 6356</w:t>
      </w:r>
    </w:p>
    <w:p>
      <w:pPr>
        <w:spacing w:before="0" w:after="0"/>
      </w:pPr>
    </w:p>
    <w:p>
      <w:pPr>
        <w:spacing w:before="0" w:after="0"/>
      </w:pPr>
      <w:r>
        <w:rPr>
          <w:rFonts w:ascii="Arial" w:hAnsi="Arial" w:eastAsia="Arial" w:cs="Arial"/>
          <w:sz w:val="22"/>
          <w:szCs w:val="22"/>
        </w:rPr>
        <w:t xml:space="preserve">Durchgangswiderstand: &lt;= 1 x 109 Ohm, gem. ISO 10965</w:t>
      </w:r>
    </w:p>
    <w:p>
      <w:pPr>
        <w:spacing w:before="0" w:after="0"/>
      </w:pPr>
    </w:p>
    <w:p>
      <w:pPr>
        <w:spacing w:before="0" w:after="0"/>
      </w:pPr>
      <w:r>
        <w:rPr>
          <w:rFonts w:ascii="Arial" w:hAnsi="Arial" w:eastAsia="Arial" w:cs="Arial"/>
          <w:sz w:val="22"/>
          <w:szCs w:val="22"/>
        </w:rPr>
        <w:t xml:space="preserve">Oberflächenwiderstand: -&lt;= 1 x 109 Ohm, gem. ISO 10965</w:t>
      </w:r>
    </w:p>
    <w:p>
      <w:pPr>
        <w:spacing w:before="0" w:after="0"/>
      </w:pPr>
    </w:p>
    <w:p>
      <w:pPr>
        <w:spacing w:before="0" w:after="0"/>
      </w:pPr>
      <w:r>
        <w:rPr>
          <w:rFonts w:ascii="Arial" w:hAnsi="Arial" w:eastAsia="Arial" w:cs="Arial"/>
          <w:sz w:val="22"/>
          <w:szCs w:val="22"/>
        </w:rPr>
        <w:t xml:space="preserve">Beanspruchungsbereich: 33 Objektbereich gewerblich - Stark, gem. EN 1307</w:t>
      </w:r>
    </w:p>
    <w:p>
      <w:pPr>
        <w:spacing w:before="0" w:after="0"/>
      </w:pPr>
    </w:p>
    <w:p>
      <w:pPr>
        <w:spacing w:before="0" w:after="0"/>
      </w:pPr>
      <w:r>
        <w:rPr>
          <w:rFonts w:ascii="Arial" w:hAnsi="Arial" w:eastAsia="Arial" w:cs="Arial"/>
          <w:sz w:val="22"/>
          <w:szCs w:val="22"/>
        </w:rPr>
        <w:t xml:space="preserve">Komfortklasse: LC2, gem. EN 1307</w:t>
      </w:r>
    </w:p>
    <w:p>
      <w:pPr>
        <w:spacing w:before="0" w:after="0"/>
      </w:pPr>
    </w:p>
    <w:p>
      <w:pPr>
        <w:spacing w:before="0" w:after="0"/>
      </w:pPr>
      <w:r>
        <w:rPr>
          <w:rFonts w:ascii="Arial" w:hAnsi="Arial" w:eastAsia="Arial" w:cs="Arial"/>
          <w:sz w:val="22"/>
          <w:szCs w:val="22"/>
        </w:rPr>
        <w:t xml:space="preserve">Maßbeständigkeit: &lt;= 0,2 %, gem. EN 986</w:t>
      </w:r>
    </w:p>
    <w:p>
      <w:pPr>
        <w:spacing w:before="0" w:after="0"/>
      </w:pPr>
    </w:p>
    <w:p>
      <w:pPr>
        <w:spacing w:before="0" w:after="0"/>
      </w:pPr>
      <w:r>
        <w:rPr>
          <w:rFonts w:ascii="Arial" w:hAnsi="Arial" w:eastAsia="Arial" w:cs="Arial"/>
          <w:sz w:val="22"/>
          <w:szCs w:val="22"/>
        </w:rPr>
        <w:t xml:space="preserve">Trittschallverbesserungsmaß: 25 dB, gem. ISO 140-8</w:t>
      </w:r>
    </w:p>
    <w:p>
      <w:pPr>
        <w:spacing w:before="0" w:after="0"/>
      </w:pPr>
    </w:p>
    <w:p>
      <w:pPr>
        <w:spacing w:before="0" w:after="0"/>
      </w:pPr>
      <w:r>
        <w:rPr>
          <w:rFonts w:ascii="Arial" w:hAnsi="Arial" w:eastAsia="Arial" w:cs="Arial"/>
          <w:sz w:val="22"/>
          <w:szCs w:val="22"/>
        </w:rPr>
        <w:t xml:space="preserve">Schallreduktion: 0,15 aw, gem. ISO 354</w:t>
      </w:r>
    </w:p>
    <w:p>
      <w:pPr>
        <w:spacing w:before="0" w:after="0"/>
      </w:pPr>
    </w:p>
    <w:p>
      <w:pPr>
        <w:spacing w:before="0" w:after="0"/>
      </w:pPr>
      <w:r>
        <w:rPr>
          <w:rFonts w:ascii="Arial" w:hAnsi="Arial" w:eastAsia="Arial" w:cs="Arial"/>
          <w:sz w:val="22"/>
          <w:szCs w:val="22"/>
        </w:rPr>
        <w:t xml:space="preserve">Wärmedurchlasswiderstand: 0,071 m² K/W, gem. ISO 8302</w:t>
      </w:r>
    </w:p>
    <w:p>
      <w:pPr>
        <w:spacing w:before="0" w:after="0"/>
      </w:pPr>
    </w:p>
    <w:p>
      <w:pPr>
        <w:spacing w:before="0" w:after="0"/>
      </w:pPr>
      <w:r>
        <w:rPr>
          <w:rFonts w:ascii="Arial" w:hAnsi="Arial" w:eastAsia="Arial" w:cs="Arial"/>
          <w:sz w:val="22"/>
          <w:szCs w:val="22"/>
        </w:rPr>
        <w:t xml:space="preserve">Brandverhalten: Bfl - s1 (unverklebt geprüft), gem. EN</w:t>
      </w:r>
    </w:p>
    <w:p>
      <w:pPr>
        <w:spacing w:before="0" w:after="0"/>
      </w:pPr>
      <w:r>
        <w:rPr>
          <w:rFonts w:ascii="Arial" w:hAnsi="Arial" w:eastAsia="Arial" w:cs="Arial"/>
          <w:sz w:val="22"/>
          <w:szCs w:val="22"/>
        </w:rPr>
        <w:t xml:space="preserve">13501-1</w:t>
      </w:r>
    </w:p>
    <w:p>
      <w:pPr>
        <w:spacing w:before="0" w:after="0"/>
      </w:pPr>
    </w:p>
    <w:p>
      <w:pPr>
        <w:spacing w:before="0" w:after="0"/>
      </w:pPr>
      <w:r>
        <w:rPr>
          <w:rFonts w:ascii="Arial" w:hAnsi="Arial" w:eastAsia="Arial" w:cs="Arial"/>
          <w:sz w:val="22"/>
          <w:szCs w:val="22"/>
        </w:rPr>
        <w:t xml:space="preserve">Lichtreflexionsgrad: gem. BS 8493</w:t>
      </w:r>
    </w:p>
    <w:p>
      <w:pPr>
        <w:spacing w:before="0" w:after="0"/>
      </w:pPr>
    </w:p>
    <w:p>
      <w:pPr>
        <w:spacing w:before="0" w:after="0"/>
      </w:pPr>
      <w:r>
        <w:rPr>
          <w:rFonts w:ascii="Arial" w:hAnsi="Arial" w:eastAsia="Arial" w:cs="Arial"/>
          <w:sz w:val="22"/>
          <w:szCs w:val="22"/>
        </w:rPr>
        <w:t xml:space="preserve">Farbtiefe: gem. CIELAB</w:t>
      </w:r>
    </w:p>
    <w:p>
      <w:pPr>
        <w:spacing w:before="0" w:after="0"/>
      </w:pPr>
    </w:p>
    <w:p>
      <w:pPr>
        <w:spacing w:before="0" w:after="0"/>
      </w:pPr>
      <w:r>
        <w:rPr>
          <w:rFonts w:ascii="Arial" w:hAnsi="Arial" w:eastAsia="Arial" w:cs="Arial"/>
          <w:sz w:val="22"/>
          <w:szCs w:val="22"/>
        </w:rPr>
        <w:t xml:space="preserve">Antistatisch: gegeben, gem. Begehtest EN 1815 bzw. ISO</w:t>
      </w:r>
    </w:p>
    <w:p>
      <w:pPr>
        <w:spacing w:before="0" w:after="0"/>
      </w:pPr>
      <w:r>
        <w:rPr>
          <w:rFonts w:ascii="Arial" w:hAnsi="Arial" w:eastAsia="Arial" w:cs="Arial"/>
          <w:sz w:val="22"/>
          <w:szCs w:val="22"/>
        </w:rPr>
        <w:t xml:space="preserve">6356</w:t>
      </w:r>
    </w:p>
    <w:p>
      <w:pPr>
        <w:spacing w:before="0" w:after="0"/>
      </w:pPr>
    </w:p>
    <w:p>
      <w:pPr>
        <w:spacing w:before="0" w:after="0"/>
      </w:pPr>
      <w:r>
        <w:rPr>
          <w:rFonts w:ascii="Arial" w:hAnsi="Arial" w:eastAsia="Arial" w:cs="Arial"/>
          <w:sz w:val="22"/>
          <w:szCs w:val="22"/>
        </w:rPr>
        <w:t xml:space="preserve">Ableitfähigkeit: gegeben, &lt;= 1 x 109 Ohm, gem. ISO</w:t>
      </w:r>
    </w:p>
    <w:p>
      <w:pPr>
        <w:spacing w:before="0" w:after="0"/>
      </w:pPr>
      <w:r>
        <w:rPr>
          <w:rFonts w:ascii="Arial" w:hAnsi="Arial" w:eastAsia="Arial" w:cs="Arial"/>
          <w:sz w:val="22"/>
          <w:szCs w:val="22"/>
        </w:rPr>
        <w:t xml:space="preserve">10965</w:t>
      </w:r>
    </w:p>
    <w:p>
      <w:pPr>
        <w:spacing w:before="0" w:after="0"/>
      </w:pPr>
    </w:p>
    <w:p>
      <w:pPr>
        <w:spacing w:before="0" w:after="0"/>
      </w:pPr>
      <w:r>
        <w:rPr>
          <w:rFonts w:ascii="Arial" w:hAnsi="Arial" w:eastAsia="Arial" w:cs="Arial"/>
          <w:sz w:val="22"/>
          <w:szCs w:val="22"/>
        </w:rPr>
        <w:t xml:space="preserve">Stuhlrollengeignung: gegeben für den gewerblichen</w:t>
      </w:r>
    </w:p>
    <w:p>
      <w:pPr>
        <w:spacing w:before="0" w:after="0"/>
      </w:pPr>
      <w:r>
        <w:rPr>
          <w:rFonts w:ascii="Arial" w:hAnsi="Arial" w:eastAsia="Arial" w:cs="Arial"/>
          <w:sz w:val="22"/>
          <w:szCs w:val="22"/>
        </w:rPr>
        <w:t xml:space="preserve">Bereich</w:t>
      </w:r>
    </w:p>
    <w:p>
      <w:pPr>
        <w:spacing w:before="0" w:after="0"/>
      </w:pPr>
    </w:p>
    <w:p>
      <w:pPr>
        <w:spacing w:before="0" w:after="0"/>
      </w:pPr>
      <w:r>
        <w:rPr>
          <w:rFonts w:ascii="Arial" w:hAnsi="Arial" w:eastAsia="Arial" w:cs="Arial"/>
          <w:sz w:val="22"/>
          <w:szCs w:val="22"/>
        </w:rPr>
        <w:t xml:space="preserve">Fußbodenheizungseignung: gegeben</w:t>
      </w:r>
    </w:p>
    <w:p>
      <w:pPr>
        <w:spacing w:before="0" w:after="0"/>
      </w:pPr>
    </w:p>
    <w:p>
      <w:pPr>
        <w:spacing w:before="0" w:after="0"/>
      </w:pPr>
      <w:r>
        <w:rPr>
          <w:rFonts w:ascii="Arial" w:hAnsi="Arial" w:eastAsia="Arial" w:cs="Arial"/>
          <w:sz w:val="22"/>
          <w:szCs w:val="22"/>
        </w:rPr>
        <w:t xml:space="preserve">Rutschhemmung: DS</w:t>
      </w:r>
    </w:p>
    <w:p>
      <w:pPr>
        <w:spacing w:before="0" w:after="0"/>
      </w:pPr>
    </w:p>
    <w:p>
      <w:pPr>
        <w:spacing w:before="0" w:after="0"/>
      </w:pPr>
    </w:p>
    <w:p>
      <w:pPr>
        <w:spacing w:before="0" w:after="0"/>
      </w:pPr>
      <w:r>
        <w:rPr>
          <w:rFonts w:ascii="Arial" w:hAnsi="Arial" w:eastAsia="Arial" w:cs="Arial"/>
          <w:sz w:val="22"/>
          <w:szCs w:val="22"/>
        </w:rPr>
        <w:t xml:space="preserve">Farbe: .................</w:t>
      </w:r>
    </w:p>
    <w:p>
      <w:pPr>
        <w:spacing w:before="0" w:after="0"/>
      </w:pPr>
      <w:r>
        <w:rPr>
          <w:rFonts w:ascii="Arial" w:hAnsi="Arial" w:eastAsia="Arial" w:cs="Arial"/>
          <w:sz w:val="22"/>
          <w:szCs w:val="22"/>
        </w:rPr>
        <w:t xml:space="preserve">Nach Wahl AG aus Herstellerkollektion</w:t>
      </w:r>
    </w:p>
    <w:p>
      <w:pPr>
        <w:spacing w:before="0" w:after="0"/>
      </w:pPr>
    </w:p>
    <w:p>
      <w:pPr>
        <w:spacing w:before="0" w:after="0"/>
      </w:pPr>
      <w:r>
        <w:rPr>
          <w:rFonts w:ascii="Arial" w:hAnsi="Arial" w:eastAsia="Arial" w:cs="Arial"/>
          <w:sz w:val="22"/>
          <w:szCs w:val="22"/>
        </w:rPr>
        <w:t xml:space="preserve">Rücknahmegarantie + Wiederverwertung: gegeben gem. ReStart Programm von Tarkett</w:t>
      </w:r>
    </w:p>
    <w:p>
      <w:pPr>
        <w:spacing w:before="0" w:after="0"/>
      </w:pPr>
    </w:p>
    <w:p>
      <w:pPr>
        <w:spacing w:before="0" w:after="0"/>
      </w:pPr>
      <w:r>
        <w:rPr>
          <w:rFonts w:ascii="Arial" w:hAnsi="Arial" w:eastAsia="Arial" w:cs="Arial"/>
          <w:sz w:val="22"/>
          <w:szCs w:val="22"/>
        </w:rPr>
        <w:t xml:space="preserve">Sonstige Anforderungen:</w:t>
      </w:r>
    </w:p>
    <w:p>
      <w:pPr>
        <w:spacing w:before="0" w:after="0"/>
      </w:pPr>
      <w:r>
        <w:rPr>
          <w:rFonts w:ascii="Arial" w:hAnsi="Arial" w:eastAsia="Arial" w:cs="Arial"/>
          <w:sz w:val="22"/>
          <w:szCs w:val="22"/>
        </w:rPr>
        <w:t xml:space="preserve">- Cradle to Cradle® Silber Zertifikat</w:t>
      </w:r>
    </w:p>
    <w:p>
      <w:pPr>
        <w:spacing w:before="0" w:after="0"/>
      </w:pPr>
      <w:r>
        <w:rPr>
          <w:rFonts w:ascii="Arial" w:hAnsi="Arial" w:eastAsia="Arial" w:cs="Arial"/>
          <w:sz w:val="22"/>
          <w:szCs w:val="22"/>
        </w:rPr>
        <w:t xml:space="preserve">- GUT Signet (Gemeinschaft umweltfreundlicher</w:t>
      </w:r>
    </w:p>
    <w:p>
      <w:pPr>
        <w:spacing w:before="0" w:after="0"/>
      </w:pPr>
      <w:r>
        <w:rPr>
          <w:rFonts w:ascii="Arial" w:hAnsi="Arial" w:eastAsia="Arial" w:cs="Arial"/>
          <w:sz w:val="22"/>
          <w:szCs w:val="22"/>
        </w:rPr>
        <w:t xml:space="preserve">Teppichboden) vorhanden</w:t>
      </w:r>
    </w:p>
    <w:p>
      <w:pPr>
        <w:spacing w:before="0" w:after="0"/>
      </w:pPr>
      <w:r>
        <w:rPr>
          <w:rFonts w:ascii="Arial" w:hAnsi="Arial" w:eastAsia="Arial" w:cs="Arial"/>
          <w:sz w:val="22"/>
          <w:szCs w:val="22"/>
        </w:rPr>
        <w:t xml:space="preserve">- Reduziert effektiv Feinstaub in der Innenluft.</w:t>
      </w:r>
    </w:p>
    <w:p>
      <w:pPr>
        <w:spacing w:before="0" w:after="0"/>
      </w:pPr>
      <w:r>
        <w:rPr>
          <w:rFonts w:ascii="Arial" w:hAnsi="Arial" w:eastAsia="Arial" w:cs="Arial"/>
          <w:sz w:val="22"/>
          <w:szCs w:val="22"/>
        </w:rPr>
        <w:t xml:space="preserve">Zertifiziert mit GUI-Label in Basic(Gesellschaft für</w:t>
      </w:r>
    </w:p>
    <w:p>
      <w:pPr>
        <w:spacing w:before="0" w:after="0"/>
      </w:pPr>
      <w:r>
        <w:rPr>
          <w:rFonts w:ascii="Arial" w:hAnsi="Arial" w:eastAsia="Arial" w:cs="Arial"/>
          <w:sz w:val="22"/>
          <w:szCs w:val="22"/>
        </w:rPr>
        <w:t xml:space="preserve">Umwelt und Innenraumanalytik)</w:t>
      </w:r>
    </w:p>
    <w:p>
      <w:pPr>
        <w:spacing w:before="0" w:after="0"/>
      </w:pPr>
      <w:r>
        <w:rPr>
          <w:rFonts w:ascii="Arial" w:hAnsi="Arial" w:eastAsia="Arial" w:cs="Arial"/>
          <w:sz w:val="22"/>
          <w:szCs w:val="22"/>
        </w:rPr>
        <w:t xml:space="preserve">- CRI Green Label Plus für US LEED Standard</w:t>
      </w:r>
    </w:p>
    <w:p>
      <w:pPr>
        <w:spacing w:before="0" w:after="0"/>
      </w:pPr>
      <w:r>
        <w:rPr>
          <w:rFonts w:ascii="Arial" w:hAnsi="Arial" w:eastAsia="Arial" w:cs="Arial"/>
          <w:sz w:val="22"/>
          <w:szCs w:val="22"/>
        </w:rPr>
        <w:t xml:space="preserve">- CE-Kennzeichnung Angewandte harmonisierte Norm</w:t>
      </w:r>
    </w:p>
    <w:p>
      <w:pPr>
        <w:spacing w:before="0" w:after="0"/>
      </w:pPr>
    </w:p>
    <w:p>
      <w:pPr>
        <w:spacing w:before="0" w:after="0"/>
      </w:pPr>
    </w:p>
    <w:p>
      <w:pPr>
        <w:spacing w:before="0" w:after="0"/>
      </w:pPr>
      <w:r>
        <w:rPr>
          <w:rFonts w:ascii="Arial" w:hAnsi="Arial" w:eastAsia="Arial" w:cs="Arial"/>
          <w:sz w:val="22"/>
          <w:szCs w:val="22"/>
        </w:rPr>
        <w:t xml:space="preserve">Besondere Eigenschaften:</w:t>
      </w:r>
    </w:p>
    <w:p>
      <w:pPr>
        <w:spacing w:before="0" w:after="0"/>
      </w:pPr>
    </w:p>
    <w:p>
      <w:pPr>
        <w:spacing w:before="0" w:after="0"/>
      </w:pPr>
    </w:p>
    <w:p>
      <w:pPr>
        <w:spacing w:before="0" w:after="0"/>
      </w:pPr>
    </w:p>
    <w:p>
      <w:pPr>
        <w:spacing w:before="0" w:after="0"/>
      </w:pPr>
      <w:r>
        <w:rPr>
          <w:rFonts w:ascii="Arial" w:hAnsi="Arial" w:eastAsia="Arial" w:cs="Arial"/>
          <w:sz w:val="22"/>
          <w:szCs w:val="22"/>
        </w:rPr>
        <w:t xml:space="preserve">Fabrikat: Desso Arable EcoBase</w:t>
      </w:r>
    </w:p>
    <w:p>
      <w:pPr>
        <w:spacing w:before="0" w:after="0"/>
      </w:pPr>
    </w:p>
    <w:p>
      <w:pPr>
        <w:spacing w:before="0" w:after="0"/>
      </w:pPr>
      <w:r>
        <w:rPr>
          <w:rFonts w:ascii="Arial" w:hAnsi="Arial" w:eastAsia="Arial" w:cs="Arial"/>
          <w:sz w:val="22"/>
          <w:szCs w:val="22"/>
        </w:rPr>
        <w:t xml:space="preserve">Einheit: m²</w:t>
      </w:r>
    </w:p>
    <w:p>
      <w:pPr>
        <w:spacing w:before="0" w:after="0"/>
      </w:pPr>
    </w:p>
    <w:p>
      <w:pPr>
        <w:spacing w:before="0" w:after="0"/>
      </w:pPr>
      <w:r>
        <w:rPr>
          <w:rFonts w:ascii="Arial" w:hAnsi="Arial" w:eastAsia="Arial" w:cs="Arial"/>
          <w:sz w:val="22"/>
          <w:szCs w:val="22"/>
        </w:rPr>
        <w:t xml:space="preserve">Hinweis: Dieser Ausschreibungstext ist unverbindlich</w:t>
      </w:r>
    </w:p>
    <w:p>
      <w:pPr>
        <w:spacing w:before="0" w:after="0"/>
      </w:pPr>
      <w:r>
        <w:rPr>
          <w:rFonts w:ascii="Arial" w:hAnsi="Arial" w:eastAsia="Arial" w:cs="Arial"/>
          <w:sz w:val="22"/>
          <w:szCs w:val="22"/>
        </w:rPr>
        <w:t xml:space="preserve">und muss gegebenenfalls den örtlichen Gegebenheiten</w:t>
      </w:r>
    </w:p>
    <w:p>
      <w:pPr>
        <w:spacing w:before="0" w:after="0"/>
      </w:pPr>
      <w:r>
        <w:rPr>
          <w:rFonts w:ascii="Arial" w:hAnsi="Arial" w:eastAsia="Arial" w:cs="Arial"/>
          <w:sz w:val="22"/>
          <w:szCs w:val="22"/>
        </w:rPr>
        <w:t xml:space="preserve">angepasst werden.</w:t>
      </w:r>
    </w:p>
    <w:p>
      <w:pPr>
        <w:spacing w:before="0" w:after="0"/>
      </w:pPr>
    </w:p>
    <w:p>
      <w:pPr>
        <w:spacing w:before="0" w:after="0"/>
      </w:pPr>
      <w:r>
        <w:rPr>
          <w:rFonts w:ascii="Arial" w:hAnsi="Arial" w:eastAsia="Arial" w:cs="Arial"/>
          <w:sz w:val="22"/>
          <w:szCs w:val="22"/>
        </w:rPr>
        <w:t xml:space="preserve">Technische Daten können sich geringfügig ändern.</w:t>
      </w:r>
    </w:p>
    <w:p>
      <w:pPr>
        <w:spacing w:before="0" w:after="0"/>
      </w:pPr>
      <w:r>
        <w:rPr>
          <w:rFonts w:ascii="Arial" w:hAnsi="Arial" w:eastAsia="Arial" w:cs="Arial"/>
          <w:sz w:val="22"/>
          <w:szCs w:val="22"/>
        </w:rPr>
        <w:t xml:space="preserve">Aktuelle Daten finden Sie unter: www.tarkett.com</w:t>
      </w:r>
    </w:p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Menge: </w:t>
      </w:r>
      <w:r>
        <w:rPr>
          <w:rFonts w:ascii="Calibri" w:hAnsi="Calibri" w:eastAsia="Calibri" w:cs="Calibri"/>
          <w:sz w:val="22"/>
          <w:szCs w:val="22"/>
        </w:rPr>
        <w:t xml:space="preserve">..........</w:t>
      </w:r>
    </w:p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Einheit: </w:t>
      </w:r>
      <w:r>
        <w:rPr>
          <w:rFonts w:ascii="Calibri" w:hAnsi="Calibri" w:eastAsia="Calibri" w:cs="Calibri"/>
          <w:sz w:val="22"/>
          <w:szCs w:val="22"/>
        </w:rPr>
        <w:t xml:space="preserve">m²</w:t>
      </w:r>
    </w:p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EP: </w:t>
      </w:r>
      <w:r>
        <w:rPr>
          <w:rFonts w:ascii="Calibri" w:hAnsi="Calibri" w:eastAsia="Calibri" w:cs="Calibri"/>
          <w:sz w:val="22"/>
          <w:szCs w:val="22"/>
        </w:rPr>
        <w:t xml:space="preserve">..........</w:t>
      </w:r>
    </w:p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GP: </w:t>
      </w:r>
      <w:r>
        <w:rPr>
          <w:rFonts w:ascii="Calibri" w:hAnsi="Calibri" w:eastAsia="Calibri" w:cs="Calibri"/>
          <w:sz w:val="22"/>
          <w:szCs w:val="22"/>
        </w:rPr>
        <w:t xml:space="preserve">..........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 </w:t>
      </w:r>
    </w:p>
    <w:p/>
    <w:p>
      <w:pPr/>
      <w:r>
        <w:rPr/>
        <w:t xml:space="preserve">
</w:t>
      </w:r>
    </w:p>
    <w:p>
      <w:hyperlink r:id="rId7" w:history="1">
        <w:r>
          <w:rPr>
            <w:rFonts w:ascii="Calibri" w:hAnsi="Calibri" w:eastAsia="Calibri" w:cs="Calibri"/>
            <w:color w:val="#0000ff"/>
            <w:sz w:val="20"/>
            <w:szCs w:val="20"/>
            <w:u w:val="single"/>
          </w:rPr>
          <w:t xml:space="preserve">Tarkett Holding auf heinze.de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paragraphFooterStyle"/>
    </w:pPr>
    <w:r>
      <w:rPr>
        <w:rFonts w:ascii="Calibri" w:hAnsi="Calibri" w:eastAsia="Calibri" w:cs="Calibri"/>
        <w:sz w:val="20"/>
        <w:szCs w:val="20"/>
      </w:rPr>
      <w:t xml:space="preserve">Seite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von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2500" w:type="dxa"/>
      <w:gridCol w:w="2500" w:type="dxa"/>
    </w:tblGrid>
    <w:tblPr>
      <w:tblW w:w="5000" w:type="pct"/>
      <w:tblLayout w:type="autofit"/>
      <w:bidiVisual w:val="0"/>
    </w:tblPr>
    <w:tr>
      <w:trPr>
        <w:trHeight w:val="" w:hRule="atLeast"/>
      </w:trPr>
      <w:tc>
        <w:tcPr>
          <w:tcW w:w="2500" w:type="dxa"/>
        </w:tcPr>
        <w:p>
          <w:pPr/>
          <w:r>
            <w:rPr>
              <w:rFonts w:ascii="Calibri" w:hAnsi="Calibri" w:eastAsia="Calibri" w:cs="Calibri"/>
              <w:sz w:val="40"/>
              <w:szCs w:val="40"/>
              <w:b w:val="1"/>
              <w:bCs w:val="1"/>
            </w:rPr>
            <w:t xml:space="preserve">Tarkett Holding</w:t>
          </w:r>
        </w:p>
      </w:tc>
      <w:tc>
        <w:tcPr>
          <w:tcW w:w="2500" w:type="dxa"/>
        </w:tcPr>
        <w:p>
          <w:pPr>
            <w:jc w:val="end"/>
          </w:pPr>
          <w:r>
            <w:pict>
              <v:shape type="#_x0000_t75" stroked="f" style="width:112,5pt; height:45,75pt; margin-left:0pt; margin-top:0pt; mso-position-horizontal:left; mso-position-vertical:top; mso-position-horizontal-relative:char; mso-position-vertical-relative:line;">
                <w10:wrap type="square"/>
                <v:imagedata r:id="rId1" o:title=""/>
              </v:shape>
            </w:pict>
          </w:r>
        </w:p>
      </w:tc>
    </w:tr>
  </w:tbl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de-DE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de-DE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paragraphFooterStyle">
    <w:name w:val="paragraphFooterStyle"/>
    <w:basedOn w:val="Normal"/>
    <w:pPr>
      <w:jc w:val="right"/>
    </w:pPr>
  </w:style>
  <w:style w:type="table" w:customStyle="1" w:styleId="treeElementTable">
    <w:name w:val="treeElementTable"/>
    <w:uiPriority w:val="99"/>
    <w:tblPr>
      <w:tblW w:w="0" w:type="auto"/>
      <w:tblLayout w:type="autofit"/>
      <w:bidiVisual w:val="0"/>
    </w:tblPr>
    <w:tblStylePr w:type="firstRow">
      <w:tcPr>
        <w:tcPr>
          <w:shd w:val="clear" w:fill="eaeaea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heinze.de/themenkosmos/64068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2025-05-07T11:29:50+02:00</dcterms:created>
  <dcterms:modified xsi:type="dcterms:W3CDTF">2025-05-07T11:29:50+02:00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